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inversely associated with Serum creatinine, mg/dL (beta coefficient per 1-SD -0.00 (95% CI -0.00 to 0.00), false discovery rate q 0.916)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0.00)</w:t>
            </w:r>
          </w:p>
        </w:tc>
        <w:tc>
          <w:tcPr>
            <w:tcW w:type="dxa" w:w="1234"/>
          </w:tcPr>
          <w:p>
            <w:r>
              <w:t>0.902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