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Serum creatinine,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Overweight (KSSO &gt;=23 / WHO &gt;=25, country-specific) was positively associated with Serum creatinine, mg/dL (beta coefficient 0.02 (95% CI 0.01 to 0.02), false discovery rate q &lt;0.001) among 32444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0.02 (95% CI 0.01 to 0.02)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Overweight (KSSO &gt;=23 / WHO &gt;=25, country-specific) (exposure)</w:t>
            </w:r>
          </w:p>
        </w:tc>
        <w:tc>
          <w:tcPr>
            <w:tcW w:type="dxa" w:w="4320"/>
          </w:tcPr>
          <w:p>
            <w:r>
              <w:t>58.5%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