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Serum creatinine,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Waist circumference, cm was positively associated with Serum creatinine, mg/dL (beta coefficient per 1-SD 0.00 (95% CI -0.00 to 0.01), false discovery rate q 0.129) among 32444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-0.00 to 0.01)</w:t>
            </w:r>
          </w:p>
        </w:tc>
        <w:tc>
          <w:tcPr>
            <w:tcW w:type="dxa" w:w="1234"/>
          </w:tcPr>
          <w:p>
            <w:r>
              <w:t>0.103</w:t>
            </w:r>
          </w:p>
        </w:tc>
        <w:tc>
          <w:tcPr>
            <w:tcW w:type="dxa" w:w="1234"/>
          </w:tcPr>
          <w:p>
            <w:r>
              <w:t>0.129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 circumference, cm (exposure)</w:t>
            </w:r>
          </w:p>
        </w:tc>
        <w:tc>
          <w:tcPr>
            <w:tcW w:type="dxa" w:w="4320"/>
          </w:tcPr>
          <w:p>
            <w:r>
              <w:t>82.7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