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Femoral neck BMD, g/cm2 and Systolic blood pressure, mmHg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Femoral neck BMD, g/cm2 was inversely associated with Systolic blood pressure, mmHg (beta coefficient per 1-SD -0.59 (95% CI -1.17 to -0.01), false discovery rate q 0.062) among 37324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-0.59 (95% CI -1.17 to -0.01)</w:t>
            </w:r>
          </w:p>
        </w:tc>
        <w:tc>
          <w:tcPr>
            <w:tcW w:type="dxa" w:w="1234"/>
          </w:tcPr>
          <w:p>
            <w:r>
              <w:t>0.047</w:t>
            </w:r>
          </w:p>
        </w:tc>
        <w:tc>
          <w:tcPr>
            <w:tcW w:type="dxa" w:w="1234"/>
          </w:tcPr>
          <w:p>
            <w:r>
              <w:t>0.062</w:t>
            </w:r>
          </w:p>
        </w:tc>
        <w:tc>
          <w:tcPr>
            <w:tcW w:type="dxa" w:w="1234"/>
          </w:tcPr>
          <w:p>
            <w:r>
              <w:t>37324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Femoral neck BMD, g/cm2 (exposure)</w:t>
            </w:r>
          </w:p>
        </w:tc>
        <w:tc>
          <w:tcPr>
            <w:tcW w:type="dxa" w:w="4320"/>
          </w:tcPr>
          <w:p>
            <w:r>
              <w:t>0.8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