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Total fat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Advanced liver fibrosis (FIB-4&gt;2.67) was inversely associated with Total fat mass, kg (beta coefficient -0.99 (95% CI -1.95 to -0.03), false discovery rate q 0.059)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-0.99 (95% CI -1.95 to -0.03)</w:t>
            </w:r>
          </w:p>
        </w:tc>
        <w:tc>
          <w:tcPr>
            <w:tcW w:type="dxa" w:w="1234"/>
          </w:tcPr>
          <w:p>
            <w:r>
              <w:t>0.044</w:t>
            </w:r>
          </w:p>
        </w:tc>
        <w:tc>
          <w:tcPr>
            <w:tcW w:type="dxa" w:w="1234"/>
          </w:tcPr>
          <w:p>
            <w:r>
              <w:t>0.059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Advanced liver fibrosis (FIB-4&gt;2.67) (exposure)</w:t>
            </w:r>
          </w:p>
        </w:tc>
        <w:tc>
          <w:tcPr>
            <w:tcW w:type="dxa" w:w="4320"/>
          </w:tcPr>
          <w:p>
            <w:r>
              <w:t>1.9%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