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Vitamin D deficiency (&lt;20 ng/mL) (odds ratio 1.03 (95% CI 0.92 to 1.15), false discovery rate q 0.705)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0.92 to 1.15)</w:t>
            </w:r>
          </w:p>
        </w:tc>
        <w:tc>
          <w:tcPr>
            <w:tcW w:type="dxa" w:w="1234"/>
          </w:tcPr>
          <w:p>
            <w:r>
              <w:t>0.664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26.6%</w:t>
            </w:r>
          </w:p>
        </w:tc>
        <w:tc>
          <w:tcPr>
            <w:tcW w:type="dxa" w:w="2160"/>
          </w:tcPr>
          <w:p>
            <w:r>
              <w:t>23.8%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