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inversely associated with Vitamin D deficiency (&lt;20 ng/mL) (odds ratio per 1-SD 0.65 (95% CI 0.62 to 0.68), false discovery rate q &lt;0.001) among 12088 adults aged 20 years or older (a weighted Vitamin D deficiency (&lt;20 ng/mL) prevalence of 70.4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0.65 (95% CI 0.62 to 0.68)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