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Appendicular skeletal muscle mass, kg and Vitamin D deficiency (&lt;20 ng/mL)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Appendicular skeletal muscle mass, kg was inversely associated with Vitamin D deficiency (&lt;20 ng/mL) (odds ratio per 1-SD 0.84 (95% CI 0.75 to 0.95), false discovery rate q 0.006) among 12088 adults aged 20 years or older (a weighted Vitamin D deficiency (&lt;20 ng/mL) prevalence of 70.4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Appendicular skeletal muscle mass, kg</w:t>
            </w:r>
          </w:p>
        </w:tc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0.84 (95% CI 0.75 to 0.95)</w:t>
            </w:r>
          </w:p>
        </w:tc>
        <w:tc>
          <w:tcPr>
            <w:tcW w:type="dxa" w:w="1234"/>
          </w:tcPr>
          <w:p>
            <w:r>
              <w:t>0.004</w:t>
            </w:r>
          </w:p>
        </w:tc>
        <w:tc>
          <w:tcPr>
            <w:tcW w:type="dxa" w:w="1234"/>
          </w:tcPr>
          <w:p>
            <w:r>
              <w:t>0.006</w:t>
            </w:r>
          </w:p>
        </w:tc>
        <w:tc>
          <w:tcPr>
            <w:tcW w:type="dxa" w:w="1234"/>
          </w:tcPr>
          <w:p>
            <w:r>
              <w:t>12088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Vitamin D deficiency (&lt;20 ng/mL)</w:t>
            </w:r>
          </w:p>
        </w:tc>
        <w:tc>
          <w:tcPr>
            <w:tcW w:type="dxa" w:w="2160"/>
          </w:tcPr>
          <w:p>
            <w:r>
              <w:t>Vitamin D deficiency (&lt;20 ng/mL)</w:t>
            </w:r>
          </w:p>
        </w:tc>
      </w:tr>
      <w:tr>
        <w:tc>
          <w:tcPr>
            <w:tcW w:type="dxa" w:w="2160"/>
          </w:tcPr>
          <w:p>
            <w:r>
              <w:t>Appendicular skeletal muscle mass, kg (exposure)</w:t>
            </w:r>
          </w:p>
        </w:tc>
        <w:tc>
          <w:tcPr>
            <w:tcW w:type="dxa" w:w="2160"/>
          </w:tcPr>
          <w:p>
            <w:r>
              <w:t>19.6</w:t>
            </w:r>
          </w:p>
        </w:tc>
        <w:tc>
          <w:tcPr>
            <w:tcW w:type="dxa" w:w="2160"/>
          </w:tcPr>
          <w:p>
            <w:r>
              <w:t>20.3</w:t>
            </w:r>
          </w:p>
        </w:tc>
        <w:tc>
          <w:tcPr>
            <w:tcW w:type="dxa" w:w="2160"/>
          </w:tcPr>
          <w:p>
            <w:r>
              <w:t>19.3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44.7</w:t>
            </w:r>
          </w:p>
        </w:tc>
        <w:tc>
          <w:tcPr>
            <w:tcW w:type="dxa" w:w="2160"/>
          </w:tcPr>
          <w:p>
            <w:r>
              <w:t>49.2</w:t>
            </w:r>
          </w:p>
        </w:tc>
        <w:tc>
          <w:tcPr>
            <w:tcW w:type="dxa" w:w="2160"/>
          </w:tcPr>
          <w:p>
            <w:r>
              <w:t>42.9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51.1%</w:t>
            </w:r>
          </w:p>
        </w:tc>
        <w:tc>
          <w:tcPr>
            <w:tcW w:type="dxa" w:w="2160"/>
          </w:tcPr>
          <w:p>
            <w:r>
              <w:t>60.3%</w:t>
            </w:r>
          </w:p>
        </w:tc>
        <w:tc>
          <w:tcPr>
            <w:tcW w:type="dxa" w:w="2160"/>
          </w:tcPr>
          <w:p>
            <w:r>
              <w:t>47.3%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  <w:tc>
          <w:tcPr>
            <w:tcW w:type="dxa" w:w="2160"/>
          </w:tcPr>
          <w:p>
            <w:r>
              <w:t>53.7%</w:t>
            </w:r>
          </w:p>
        </w:tc>
        <w:tc>
          <w:tcPr>
            <w:tcW w:type="dxa" w:w="2160"/>
          </w:tcPr>
          <w:p>
            <w:r>
              <w:t>45.1%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90.1%</w:t>
            </w:r>
          </w:p>
        </w:tc>
        <w:tc>
          <w:tcPr>
            <w:tcW w:type="dxa" w:w="2160"/>
          </w:tcPr>
          <w:p>
            <w:r>
              <w:t>88.7%</w:t>
            </w:r>
          </w:p>
        </w:tc>
        <w:tc>
          <w:tcPr>
            <w:tcW w:type="dxa" w:w="2160"/>
          </w:tcPr>
          <w:p>
            <w:r>
              <w:t>90.8%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