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Vitamin D deficiency (&lt;20 ng/mL)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Atherogenic dyslipidemia (high TG + low HDL) was positively associated with Vitamin D deficiency (&lt;20 ng/mL) (odds ratio 1.15 (95% CI 1.01 to 1.32), false discovery rate q 0.043) among 12088 adults aged 20 years or older (a weighted Vitamin D deficiency (&lt;20 ng/mL) prevalence of 70.4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1.15 (95% CI 1.01 to 1.32)</w:t>
            </w:r>
          </w:p>
        </w:tc>
        <w:tc>
          <w:tcPr>
            <w:tcW w:type="dxa" w:w="1234"/>
          </w:tcPr>
          <w:p>
            <w:r>
              <w:t>0.032</w:t>
            </w:r>
          </w:p>
        </w:tc>
        <w:tc>
          <w:tcPr>
            <w:tcW w:type="dxa" w:w="1234"/>
          </w:tcPr>
          <w:p>
            <w:r>
              <w:t>0.043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Atherogenic dyslipidemia (high TG + low HDL) (exposure)</w:t>
            </w:r>
          </w:p>
        </w:tc>
        <w:tc>
          <w:tcPr>
            <w:tcW w:type="dxa" w:w="2160"/>
          </w:tcPr>
          <w:p>
            <w:r>
              <w:t>17.1%</w:t>
            </w:r>
          </w:p>
        </w:tc>
        <w:tc>
          <w:tcPr>
            <w:tcW w:type="dxa" w:w="2160"/>
          </w:tcPr>
          <w:p>
            <w:r>
              <w:t>17.5%</w:t>
            </w:r>
          </w:p>
        </w:tc>
        <w:tc>
          <w:tcPr>
            <w:tcW w:type="dxa" w:w="2160"/>
          </w:tcPr>
          <w:p>
            <w:r>
              <w:t>17.0%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  <w:tc>
          <w:tcPr>
            <w:tcW w:type="dxa" w:w="2160"/>
          </w:tcPr>
          <w:p>
            <w:r>
              <w:t>42.9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  <w:tc>
          <w:tcPr>
            <w:tcW w:type="dxa" w:w="2160"/>
          </w:tcPr>
          <w:p>
            <w:r>
              <w:t>60.3%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53.7%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  <w:tc>
          <w:tcPr>
            <w:tcW w:type="dxa" w:w="2160"/>
          </w:tcPr>
          <w:p>
            <w:r>
              <w:t>88.7%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