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Vitamin D deficiency (&lt;20 ng/mL) (odds ratio per 1-SD 1.02 (95% CI 0.97 to 1.07), false discovery rate q 0.439) among 12088 adults aged 20 years or older (a weighted Vitamin D deficiency (&lt;20 ng/mL) prevalence of 70.4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0.97 to 1.07)</w:t>
            </w:r>
          </w:p>
        </w:tc>
        <w:tc>
          <w:tcPr>
            <w:tcW w:type="dxa" w:w="1234"/>
          </w:tcPr>
          <w:p>
            <w:r>
              <w:t>0.388</w:t>
            </w:r>
          </w:p>
        </w:tc>
        <w:tc>
          <w:tcPr>
            <w:tcW w:type="dxa" w:w="1234"/>
          </w:tcPr>
          <w:p>
            <w:r>
              <w:t>0.439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