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Vitamin D deficiency (&lt;20 ng/mL) (odds ratio 1.00 (95% CI 0.90 to 1.11), false discovery rate q 0.950) among 12088 adults aged 20 years or older (a weighted Vitamin D deficiency (&lt;20 ng/mL) prevalence of 70.4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0.90 to 1.11)</w:t>
            </w:r>
          </w:p>
        </w:tc>
        <w:tc>
          <w:tcPr>
            <w:tcW w:type="dxa" w:w="1234"/>
          </w:tcPr>
          <w:p>
            <w:r>
              <w:t>0.942</w:t>
            </w:r>
          </w:p>
        </w:tc>
        <w:tc>
          <w:tcPr>
            <w:tcW w:type="dxa" w:w="1234"/>
          </w:tcPr>
          <w:p>
            <w:r>
              <w:t>0.950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50.7%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