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Vitamin D deficiency (&lt;20 ng/mL) (odds ratio 1.12 (95% CI 0.99 to 1.28), false discovery rate q 0.092) among 12088 adults aged 20 years or older (a weighted Vitamin D deficiency (&lt;20 ng/mL) prevalence of 70.4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1.12 (95% CI 0.99 to 1.28)</w:t>
            </w:r>
          </w:p>
        </w:tc>
        <w:tc>
          <w:tcPr>
            <w:tcW w:type="dxa" w:w="1234"/>
          </w:tcPr>
          <w:p>
            <w:r>
              <w:t>0.072</w:t>
            </w:r>
          </w:p>
        </w:tc>
        <w:tc>
          <w:tcPr>
            <w:tcW w:type="dxa" w:w="1234"/>
          </w:tcPr>
          <w:p>
            <w:r>
              <w:t>0.092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27.1%</w:t>
            </w:r>
          </w:p>
        </w:tc>
        <w:tc>
          <w:tcPr>
            <w:tcW w:type="dxa" w:w="2160"/>
          </w:tcPr>
          <w:p>
            <w:r>
              <w:t>28.0%</w:t>
            </w:r>
          </w:p>
        </w:tc>
        <w:tc>
          <w:tcPr>
            <w:tcW w:type="dxa" w:w="2160"/>
          </w:tcPr>
          <w:p>
            <w:r>
              <w:t>26.8%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