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Vitamin D deficiency (&lt;20 ng/mL) (odds ratio per 1-SD 1.04 (95% CI 0.98 to 1.10), false discovery rate q 0.214)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0.98 to 1.10)</w:t>
            </w:r>
          </w:p>
        </w:tc>
        <w:tc>
          <w:tcPr>
            <w:tcW w:type="dxa" w:w="1234"/>
          </w:tcPr>
          <w:p>
            <w:r>
              <w:t>0.178</w:t>
            </w:r>
          </w:p>
        </w:tc>
        <w:tc>
          <w:tcPr>
            <w:tcW w:type="dxa" w:w="1234"/>
          </w:tcPr>
          <w:p>
            <w:r>
              <w:t>0.214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76.6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  <w:tc>
          <w:tcPr>
            <w:tcW w:type="dxa" w:w="2160"/>
          </w:tcPr>
          <w:p>
            <w:r>
              <w:t>76.3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