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Vitamin D deficiency (&lt;20 ng/mL) (odds ratio 1.11 (95% CI 0.93 to 1.33), false discovery rate q 0.301)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0.93 to 1.33)</w:t>
            </w:r>
          </w:p>
        </w:tc>
        <w:tc>
          <w:tcPr>
            <w:tcW w:type="dxa" w:w="1234"/>
          </w:tcPr>
          <w:p>
            <w:r>
              <w:t>0.257</w:t>
            </w:r>
          </w:p>
        </w:tc>
        <w:tc>
          <w:tcPr>
            <w:tcW w:type="dxa" w:w="1234"/>
          </w:tcPr>
          <w:p>
            <w:r>
              <w:t>0.301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8.9%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