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Vitamin D deficiency (&lt;20 ng/mL) (odds ratio 1.01 (95% CI 0.80 to 1.26), false discovery rate q 0.958)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0.80 to 1.26)</w:t>
            </w:r>
          </w:p>
        </w:tc>
        <w:tc>
          <w:tcPr>
            <w:tcW w:type="dxa" w:w="1234"/>
          </w:tcPr>
          <w:p>
            <w:r>
              <w:t>0.951</w:t>
            </w:r>
          </w:p>
        </w:tc>
        <w:tc>
          <w:tcPr>
            <w:tcW w:type="dxa" w:w="1234"/>
          </w:tcPr>
          <w:p>
            <w:r>
              <w:t>0.958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3.9%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