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positively associated with Vitamin D deficiency (&lt;20 ng/mL) (odds ratio per 1-SD 1.01 (95% CI 0.96 to 1.06), false discovery rate q 0.775)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0.96 to 1.06)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  <w:tc>
          <w:tcPr>
            <w:tcW w:type="dxa" w:w="1234"/>
          </w:tcPr>
          <w:p>
            <w:r>
              <w:t>0.775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