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Vitamin D deficiency (&lt;20 ng/mL)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Femoral neck BMD, g/cm2 was inversely associated with Vitamin D deficiency (&lt;20 ng/mL) (odds ratio per 1-SD 0.86 (95% CI 0.78 to 0.94), false discovery rate q 0.003) among 12088 adults aged 20 years or older (a weighted Vitamin D deficiency (&lt;20 ng/mL) prevalence of 70.4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0.86 (95% CI 0.78 to 0.94)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Femoral neck BMD, g/cm2 (exposure)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  <w:tc>
          <w:tcPr>
            <w:tcW w:type="dxa" w:w="2160"/>
          </w:tcPr>
          <w:p>
            <w:r>
              <w:t>42.9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  <w:tc>
          <w:tcPr>
            <w:tcW w:type="dxa" w:w="2160"/>
          </w:tcPr>
          <w:p>
            <w:r>
              <w:t>60.3%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53.7%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  <w:tc>
          <w:tcPr>
            <w:tcW w:type="dxa" w:w="2160"/>
          </w:tcPr>
          <w:p>
            <w:r>
              <w:t>88.7%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