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Vitamin D deficiency (&lt;20 ng/mL) (odds ratio per 1-SD 0.96 (95% CI 0.91 to 1.01), false discovery rate q 0.108)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0.91 to 1.01)</w:t>
            </w:r>
          </w:p>
        </w:tc>
        <w:tc>
          <w:tcPr>
            <w:tcW w:type="dxa" w:w="1234"/>
          </w:tcPr>
          <w:p>
            <w:r>
              <w:t>0.085</w:t>
            </w:r>
          </w:p>
        </w:tc>
        <w:tc>
          <w:tcPr>
            <w:tcW w:type="dxa" w:w="1234"/>
          </w:tcPr>
          <w:p>
            <w:r>
              <w:t>0.108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