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Vitamin D deficiency (&lt;20 ng/mL) (odds ratio per 1-SD 1.07 (95% CI 0.99 to 1.16), false discovery rate q 0.126)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0.99 to 1.16)</w:t>
            </w:r>
          </w:p>
        </w:tc>
        <w:tc>
          <w:tcPr>
            <w:tcW w:type="dxa" w:w="1234"/>
          </w:tcPr>
          <w:p>
            <w:r>
              <w:t>0.101</w:t>
            </w:r>
          </w:p>
        </w:tc>
        <w:tc>
          <w:tcPr>
            <w:tcW w:type="dxa" w:w="1234"/>
          </w:tcPr>
          <w:p>
            <w:r>
              <w:t>0.126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5.8</w:t>
            </w:r>
          </w:p>
        </w:tc>
        <w:tc>
          <w:tcPr>
            <w:tcW w:type="dxa" w:w="2160"/>
          </w:tcPr>
          <w:p>
            <w:r>
              <w:t>5.9</w:t>
            </w:r>
          </w:p>
        </w:tc>
        <w:tc>
          <w:tcPr>
            <w:tcW w:type="dxa" w:w="2160"/>
          </w:tcPr>
          <w:p>
            <w:r>
              <w:t>5.8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