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Vitamin D deficiency (&lt;20 ng/mL) (odds ratio per 1-SD 1.03 (95% CI 0.94 to 1.12), false discovery rate q 0.563)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0.94 to 1.12)</w:t>
            </w:r>
          </w:p>
        </w:tc>
        <w:tc>
          <w:tcPr>
            <w:tcW w:type="dxa" w:w="1234"/>
          </w:tcPr>
          <w:p>
            <w:r>
              <w:t>0.516</w:t>
            </w:r>
          </w:p>
        </w:tc>
        <w:tc>
          <w:tcPr>
            <w:tcW w:type="dxa" w:w="1234"/>
          </w:tcPr>
          <w:p>
            <w:r>
              <w:t>0.563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164.3</w:t>
            </w:r>
          </w:p>
        </w:tc>
        <w:tc>
          <w:tcPr>
            <w:tcW w:type="dxa" w:w="2160"/>
          </w:tcPr>
          <w:p>
            <w:r>
              <w:t>164.4</w:t>
            </w:r>
          </w:p>
        </w:tc>
        <w:tc>
          <w:tcPr>
            <w:tcW w:type="dxa" w:w="2160"/>
          </w:tcPr>
          <w:p>
            <w:r>
              <w:t>164.2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