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and Vitamin D deficiency (&lt;20 ng/mL)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Hepatic steatosis was positively associated with Vitamin D deficiency (&lt;20 ng/mL) (odds ratio 1.20 (95% CI 1.03 to 1.39), false discovery rate q 0.028) among 12088 adults aged 20 years or older (a weighted Vitamin D deficiency (&lt;20 ng/mL) prevalence of 70.4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1.20 (95% CI 1.03 to 1.39)</w:t>
            </w:r>
          </w:p>
        </w:tc>
        <w:tc>
          <w:tcPr>
            <w:tcW w:type="dxa" w:w="1234"/>
          </w:tcPr>
          <w:p>
            <w:r>
              <w:t>0.020</w:t>
            </w:r>
          </w:p>
        </w:tc>
        <w:tc>
          <w:tcPr>
            <w:tcW w:type="dxa" w:w="1234"/>
          </w:tcPr>
          <w:p>
            <w:r>
              <w:t>0.028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Hepatic steatosis (exposure)</w:t>
            </w:r>
          </w:p>
        </w:tc>
        <w:tc>
          <w:tcPr>
            <w:tcW w:type="dxa" w:w="2160"/>
          </w:tcPr>
          <w:p>
            <w:r>
              <w:t>23.7%</w:t>
            </w:r>
          </w:p>
        </w:tc>
        <w:tc>
          <w:tcPr>
            <w:tcW w:type="dxa" w:w="2160"/>
          </w:tcPr>
          <w:p>
            <w:r>
              <w:t>22.3%</w:t>
            </w:r>
          </w:p>
        </w:tc>
        <w:tc>
          <w:tcPr>
            <w:tcW w:type="dxa" w:w="2160"/>
          </w:tcPr>
          <w:p>
            <w:r>
              <w:t>24.2%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  <w:tc>
          <w:tcPr>
            <w:tcW w:type="dxa" w:w="2160"/>
          </w:tcPr>
          <w:p>
            <w:r>
              <w:t>42.9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  <w:tc>
          <w:tcPr>
            <w:tcW w:type="dxa" w:w="2160"/>
          </w:tcPr>
          <w:p>
            <w:r>
              <w:t>60.3%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53.7%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  <w:tc>
          <w:tcPr>
            <w:tcW w:type="dxa" w:w="2160"/>
          </w:tcPr>
          <w:p>
            <w:r>
              <w:t>88.7%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