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inversely associated with Vitamin D deficiency (&lt;20 ng/mL) (odds ratio 0.90 (95% CI 0.60 to 1.34), false discovery rate q 0.637)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0.60 to 1.34)</w:t>
            </w:r>
          </w:p>
        </w:tc>
        <w:tc>
          <w:tcPr>
            <w:tcW w:type="dxa" w:w="1234"/>
          </w:tcPr>
          <w:p>
            <w:r>
              <w:t>0.591</w:t>
            </w:r>
          </w:p>
        </w:tc>
        <w:tc>
          <w:tcPr>
            <w:tcW w:type="dxa" w:w="1234"/>
          </w:tcPr>
          <w:p>
            <w:r>
              <w:t>0.637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1.3%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