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Vitamin D deficiency (&lt;20 ng/mL) (odds ratio 1.13 (95% CI 1.01 to 1.25), false discovery rate q 0.036)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1.01 to 1.25)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36.8%</w:t>
            </w:r>
          </w:p>
        </w:tc>
        <w:tc>
          <w:tcPr>
            <w:tcW w:type="dxa" w:w="2160"/>
          </w:tcPr>
          <w:p>
            <w:r>
              <w:t>38.8%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