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Low muscle mass (low ASMI, AWGS cut) was positively associated with Vitamin D deficiency (&lt;20 ng/mL) (odds ratio 1.26 (95% CI 1.01 to 1.57), false discovery rate q 0.050) among 12088 adults aged 20 years or older (a weighted Vitamin D deficiency (&lt;20 ng/mL) prevalence of 70.4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1.26 (95% CI 1.01 to 1.57)</w:t>
            </w:r>
          </w:p>
        </w:tc>
        <w:tc>
          <w:tcPr>
            <w:tcW w:type="dxa" w:w="1234"/>
          </w:tcPr>
          <w:p>
            <w:r>
              <w:t>0.037</w:t>
            </w:r>
          </w:p>
        </w:tc>
        <w:tc>
          <w:tcPr>
            <w:tcW w:type="dxa" w:w="1234"/>
          </w:tcPr>
          <w:p>
            <w:r>
              <w:t>0.050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Low muscle mass (low ASMI, AWGS cut) (exposure)</w:t>
            </w:r>
          </w:p>
        </w:tc>
        <w:tc>
          <w:tcPr>
            <w:tcW w:type="dxa" w:w="2160"/>
          </w:tcPr>
          <w:p>
            <w:r>
              <w:t>12.1%</w:t>
            </w:r>
          </w:p>
        </w:tc>
        <w:tc>
          <w:tcPr>
            <w:tcW w:type="dxa" w:w="2160"/>
          </w:tcPr>
          <w:p>
            <w:r>
              <w:t>10.3%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