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Vitamin D deficiency (&lt;20 ng/mL) (odds ratio per 1-SD 0.96 (95% CI 0.88 to 1.04), false discovery rate q 0.355)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0.88 to 1.04)</w:t>
            </w:r>
          </w:p>
        </w:tc>
        <w:tc>
          <w:tcPr>
            <w:tcW w:type="dxa" w:w="1234"/>
          </w:tcPr>
          <w:p>
            <w:r>
              <w:t>0.307</w:t>
            </w:r>
          </w:p>
        </w:tc>
        <w:tc>
          <w:tcPr>
            <w:tcW w:type="dxa" w:w="1234"/>
          </w:tcPr>
          <w:p>
            <w:r>
              <w:t>0.355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