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inversely associated with Vitamin D deficiency (&lt;20 ng/mL) (odds ratio per 1-SD 0.97 (95% CI 0.92 to 1.02), false discovery rate q 0.258)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0.92 to 1.02)</w:t>
            </w:r>
          </w:p>
        </w:tc>
        <w:tc>
          <w:tcPr>
            <w:tcW w:type="dxa" w:w="1234"/>
          </w:tcPr>
          <w:p>
            <w:r>
              <w:t>0.217</w:t>
            </w:r>
          </w:p>
        </w:tc>
        <w:tc>
          <w:tcPr>
            <w:tcW w:type="dxa" w:w="1234"/>
          </w:tcPr>
          <w:p>
            <w:r>
              <w:t>0.258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138.3</w:t>
            </w:r>
          </w:p>
        </w:tc>
        <w:tc>
          <w:tcPr>
            <w:tcW w:type="dxa" w:w="2160"/>
          </w:tcPr>
          <w:p>
            <w:r>
              <w:t>141.5</w:t>
            </w:r>
          </w:p>
        </w:tc>
        <w:tc>
          <w:tcPr>
            <w:tcW w:type="dxa" w:w="2160"/>
          </w:tcPr>
          <w:p>
            <w:r>
              <w:t>137.0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