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Vitamin D deficiency (&lt;20 ng/mL) (odds ratio 1.00 (95% CI 0.90 to 1.12), false discovery rate q 0.946)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0.90 to 1.12)</w:t>
            </w:r>
          </w:p>
        </w:tc>
        <w:tc>
          <w:tcPr>
            <w:tcW w:type="dxa" w:w="1234"/>
          </w:tcPr>
          <w:p>
            <w:r>
              <w:t>0.938</w:t>
            </w:r>
          </w:p>
        </w:tc>
        <w:tc>
          <w:tcPr>
            <w:tcW w:type="dxa" w:w="1234"/>
          </w:tcPr>
          <w:p>
            <w:r>
              <w:t>0.946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33.0%</w:t>
            </w:r>
          </w:p>
        </w:tc>
        <w:tc>
          <w:tcPr>
            <w:tcW w:type="dxa" w:w="2160"/>
          </w:tcPr>
          <w:p>
            <w:r>
              <w:t>35.0%</w:t>
            </w:r>
          </w:p>
        </w:tc>
        <w:tc>
          <w:tcPr>
            <w:tcW w:type="dxa" w:w="2160"/>
          </w:tcPr>
          <w:p>
            <w:r>
              <w:t>32.2%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