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Vitamin D deficiency (&lt;20 ng/mL) (odds ratio 1.00 (95% CI 0.90 to 1.11), false discovery rate q 0.994)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0.90 to 1.11)</w:t>
            </w:r>
          </w:p>
        </w:tc>
        <w:tc>
          <w:tcPr>
            <w:tcW w:type="dxa" w:w="1234"/>
          </w:tcPr>
          <w:p>
            <w:r>
              <w:t>0.992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  <w:tc>
          <w:tcPr>
            <w:tcW w:type="dxa" w:w="2160"/>
          </w:tcPr>
          <w:p>
            <w:r>
              <w:t>59.8%</w:t>
            </w:r>
          </w:p>
        </w:tc>
        <w:tc>
          <w:tcPr>
            <w:tcW w:type="dxa" w:w="2160"/>
          </w:tcPr>
          <w:p>
            <w:r>
              <w:t>55.3%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