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Vitamin D deficiency (&lt;20 ng/mL) (odds ratio 1.08 (95% CI 0.96 to 1.21), false discovery rate q 0.256)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0.96 to 1.21)</w:t>
            </w:r>
          </w:p>
        </w:tc>
        <w:tc>
          <w:tcPr>
            <w:tcW w:type="dxa" w:w="1234"/>
          </w:tcPr>
          <w:p>
            <w:r>
              <w:t>0.215</w:t>
            </w:r>
          </w:p>
        </w:tc>
        <w:tc>
          <w:tcPr>
            <w:tcW w:type="dxa" w:w="1234"/>
          </w:tcPr>
          <w:p>
            <w:r>
              <w:t>0.256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28.3%</w:t>
            </w:r>
          </w:p>
        </w:tc>
        <w:tc>
          <w:tcPr>
            <w:tcW w:type="dxa" w:w="2160"/>
          </w:tcPr>
          <w:p>
            <w:r>
              <w:t>30.6%</w:t>
            </w:r>
          </w:p>
        </w:tc>
        <w:tc>
          <w:tcPr>
            <w:tcW w:type="dxa" w:w="2160"/>
          </w:tcPr>
          <w:p>
            <w:r>
              <w:t>27.4%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