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Vitamin D deficiency (&lt;20 ng/mL) (odds ratio per 1-SD 1.10 (95% CI 1.04 to 1.16), false discovery rate q &lt;0.001)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1.10 (95% CI 1.04 to 1.16)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136.6</w:t>
            </w:r>
          </w:p>
        </w:tc>
        <w:tc>
          <w:tcPr>
            <w:tcW w:type="dxa" w:w="2160"/>
          </w:tcPr>
          <w:p>
            <w:r>
              <w:t>137.9</w:t>
            </w:r>
          </w:p>
        </w:tc>
        <w:tc>
          <w:tcPr>
            <w:tcW w:type="dxa" w:w="2160"/>
          </w:tcPr>
          <w:p>
            <w:r>
              <w:t>136.0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