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inversely associated with Vitamin D deficiency (&lt;20 ng/mL) (odds ratio per 1-SD 0.99 (95% CI 0.94 to 1.05), false discovery rate q 0.837)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0.94 to 1.05)</w:t>
            </w:r>
          </w:p>
        </w:tc>
        <w:tc>
          <w:tcPr>
            <w:tcW w:type="dxa" w:w="1234"/>
          </w:tcPr>
          <w:p>
            <w:r>
              <w:t>0.809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81.2</w:t>
            </w:r>
          </w:p>
        </w:tc>
        <w:tc>
          <w:tcPr>
            <w:tcW w:type="dxa" w:w="2160"/>
          </w:tcPr>
          <w:p>
            <w:r>
              <w:t>82.5</w:t>
            </w:r>
          </w:p>
        </w:tc>
        <w:tc>
          <w:tcPr>
            <w:tcW w:type="dxa" w:w="2160"/>
          </w:tcPr>
          <w:p>
            <w:r>
              <w:t>80.6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