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inversely associated with Vitamin D deficiency (&lt;20 ng/mL) (odds ratio per 1-SD 0.99 (95% CI 0.93 to 1.05), false discovery rate q 0.723)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0.93 to 1.05)</w:t>
            </w:r>
          </w:p>
        </w:tc>
        <w:tc>
          <w:tcPr>
            <w:tcW w:type="dxa" w:w="1234"/>
          </w:tcPr>
          <w:p>
            <w:r>
              <w:t>0.683</w:t>
            </w:r>
          </w:p>
        </w:tc>
        <w:tc>
          <w:tcPr>
            <w:tcW w:type="dxa" w:w="1234"/>
          </w:tcPr>
          <w:p>
            <w:r>
              <w:t>0.723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