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Vitamin D deficiency (&lt;20 ng/mL) (odds ratio per 1-SD 1.03 (95% CI 0.97 to 1.09), false discovery rate q 0.343)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0.97 to 1.09)</w:t>
            </w:r>
          </w:p>
        </w:tc>
        <w:tc>
          <w:tcPr>
            <w:tcW w:type="dxa" w:w="1234"/>
          </w:tcPr>
          <w:p>
            <w:r>
              <w:t>0.295</w:t>
            </w:r>
          </w:p>
        </w:tc>
        <w:tc>
          <w:tcPr>
            <w:tcW w:type="dxa" w:w="1234"/>
          </w:tcPr>
          <w:p>
            <w:r>
              <w:t>0.343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64.3</w:t>
            </w:r>
          </w:p>
        </w:tc>
        <w:tc>
          <w:tcPr>
            <w:tcW w:type="dxa" w:w="2160"/>
          </w:tcPr>
          <w:p>
            <w:r>
              <w:t>64.8</w:t>
            </w:r>
          </w:p>
        </w:tc>
        <w:tc>
          <w:tcPr>
            <w:tcW w:type="dxa" w:w="2160"/>
          </w:tcPr>
          <w:p>
            <w:r>
              <w:t>64.2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