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Elevated AST (&gt;40 IU/L) and Waist circumference, cm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Elevated AST (&gt;40 IU/L) was positively associated with Waist circumference, cm (beta coefficient 5.80 (95% CI 5.10 to 6.50), false discovery rate q &lt;0.001) among 37240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Elevated AST (&gt;40 IU/L)</w:t>
            </w:r>
          </w:p>
        </w:tc>
        <w:tc>
          <w:tcPr>
            <w:tcW w:type="dxa" w:w="1234"/>
          </w:tcPr>
          <w:p>
            <w:r>
              <w:t>Waist circumference, cm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5.80 (95% CI 5.10 to 6.50)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37240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Elevated AST (&gt;40 IU/L) (exposure)</w:t>
            </w:r>
          </w:p>
        </w:tc>
        <w:tc>
          <w:tcPr>
            <w:tcW w:type="dxa" w:w="4320"/>
          </w:tcPr>
          <w:p>
            <w:r>
              <w:t>4.7%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47.5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49.8%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44.7%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90.2%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