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Male sex and Waist circumference, cm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Male sex was positively associated with Waist circumference, cm (beta coefficient 7.31 (95% CI 7.06 to 7.56), false discovery rate q &lt;0.001) among 37240 adults aged 20 years or older (survey-weighted).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Male sex</w:t>
            </w:r>
          </w:p>
        </w:tc>
        <w:tc>
          <w:tcPr>
            <w:tcW w:type="dxa" w:w="1234"/>
          </w:tcPr>
          <w:p>
            <w:r>
              <w:t>Waist circumference, cm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7.31 (95% CI 7.06 to 7.56)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37240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Male sex (exposure)</w:t>
            </w:r>
          </w:p>
        </w:tc>
        <w:tc>
          <w:tcPr>
            <w:tcW w:type="dxa" w:w="4320"/>
          </w:tcPr>
          <w:p>
            <w:r>
              <w:t>49.8%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