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Waist-to-height ratio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inversely associated with Waist-to-height ratio (beta coefficient per 1-SD -0.00 (95% CI -0.00 to -0.00), false discovery rate q 0.064) among 37073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-0.00 (95% CI -0.00 to -0.00)</w:t>
            </w:r>
          </w:p>
        </w:tc>
        <w:tc>
          <w:tcPr>
            <w:tcW w:type="dxa" w:w="1234"/>
          </w:tcPr>
          <w:p>
            <w:r>
              <w:t>0.049</w:t>
            </w:r>
          </w:p>
        </w:tc>
        <w:tc>
          <w:tcPr>
            <w:tcW w:type="dxa" w:w="1234"/>
          </w:tcPr>
          <w:p>
            <w:r>
              <w:t>0.064</w:t>
            </w:r>
          </w:p>
        </w:tc>
        <w:tc>
          <w:tcPr>
            <w:tcW w:type="dxa" w:w="1234"/>
          </w:tcPr>
          <w:p>
            <w:r>
              <w:t>37073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75.7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