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HOMA-IR and Waist-to-height ratio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HOMA-IR was positively associated with Waist-to-height ratio (beta coefficient per 1-SD of log 0.00 (95% CI 0.00 to 0.00), false discovery rate q &lt;0.001) among 37073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This exposure was natural-log transformed before standardization owing to a right-skewed distribution.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HOMA-IR</w:t>
            </w:r>
          </w:p>
        </w:tc>
        <w:tc>
          <w:tcPr>
            <w:tcW w:type="dxa" w:w="1234"/>
          </w:tcPr>
          <w:p>
            <w:r>
              <w:t>Waist-to-height ratio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0.00 (95% CI 0.00 to 0.00)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37073</w:t>
            </w:r>
          </w:p>
        </w:tc>
      </w:tr>
    </w:tbl>
    <w:p>
      <w:r>
        <w:rPr>
          <w:i/>
        </w:rPr>
        <w:t>Footnote. HOMA-IR was natural-log transformed before per-1-SD standardization owing to its highly right-skewed distribution; the beta coefficient is per 1-SD increase in the natural log of HOMA-IR.</w:t>
      </w:r>
    </w:p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HOMA-IR (exposure)</w:t>
            </w:r>
          </w:p>
        </w:tc>
        <w:tc>
          <w:tcPr>
            <w:tcW w:type="dxa" w:w="4320"/>
          </w:tcPr>
          <w:p>
            <w:r>
              <w:t>2.4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49.9%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90.3%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