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Anemia (WHO) and Weight,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Anemia (WHO) was inversely associated with Weight, kg (beta coefficient -0.05 (95% CI -0.24 to 0.15), false discovery rate q 0.670) among 37480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-0.05 (95% CI -0.24 to 0.15)</w:t>
            </w:r>
          </w:p>
        </w:tc>
        <w:tc>
          <w:tcPr>
            <w:tcW w:type="dxa" w:w="1234"/>
          </w:tcPr>
          <w:p>
            <w:r>
              <w:t>0.628</w:t>
            </w:r>
          </w:p>
        </w:tc>
        <w:tc>
          <w:tcPr>
            <w:tcW w:type="dxa" w:w="1234"/>
          </w:tcPr>
          <w:p>
            <w:r>
              <w:t>0.670</w:t>
            </w:r>
          </w:p>
        </w:tc>
        <w:tc>
          <w:tcPr>
            <w:tcW w:type="dxa" w:w="1234"/>
          </w:tcPr>
          <w:p>
            <w:r>
              <w:t>37480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Anemia (WHO) (exposure)</w:t>
            </w:r>
          </w:p>
        </w:tc>
        <w:tc>
          <w:tcPr>
            <w:tcW w:type="dxa" w:w="4320"/>
          </w:tcPr>
          <w:p>
            <w:r>
              <w:t>8.5%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