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Weight,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Aspartate aminotransferase, IU/L was positively associated with Weight, kg (beta coefficient per 1-SD 0.03 (95% CI -0.04 to 0.09), false discovery rate q 0.469) among 37480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Weight,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0.03 (95% CI -0.04 to 0.09)</w:t>
            </w:r>
          </w:p>
        </w:tc>
        <w:tc>
          <w:tcPr>
            <w:tcW w:type="dxa" w:w="1234"/>
          </w:tcPr>
          <w:p>
            <w:r>
              <w:t>0.419</w:t>
            </w:r>
          </w:p>
        </w:tc>
        <w:tc>
          <w:tcPr>
            <w:tcW w:type="dxa" w:w="1234"/>
          </w:tcPr>
          <w:p>
            <w:r>
              <w:t>0.469</w:t>
            </w:r>
          </w:p>
        </w:tc>
        <w:tc>
          <w:tcPr>
            <w:tcW w:type="dxa" w:w="1234"/>
          </w:tcPr>
          <w:p>
            <w:r>
              <w:t>37480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Aspartate aminotransferase, IU/L (exposure)</w:t>
            </w:r>
          </w:p>
        </w:tc>
        <w:tc>
          <w:tcPr>
            <w:tcW w:type="dxa" w:w="4320"/>
          </w:tcPr>
          <w:p>
            <w:r>
              <w:t>23.1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