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White blood cell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 mass, kg was positively associated with White blood cell count, 10^3/uL (beta coefficient per 1-SD 0.09 (95% CI 0.01 to 0.17), false discovery rate q 0.046) among 35736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0.09 (95% CI 0.01 to 0.17)</w:t>
            </w:r>
          </w:p>
        </w:tc>
        <w:tc>
          <w:tcPr>
            <w:tcW w:type="dxa" w:w="1234"/>
          </w:tcPr>
          <w:p>
            <w:r>
              <w:t>0.034</w:t>
            </w:r>
          </w:p>
        </w:tc>
        <w:tc>
          <w:tcPr>
            <w:tcW w:type="dxa" w:w="1234"/>
          </w:tcPr>
          <w:p>
            <w:r>
              <w:t>0.046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 mass, kg (exposure)</w:t>
            </w:r>
          </w:p>
        </w:tc>
        <w:tc>
          <w:tcPr>
            <w:tcW w:type="dxa" w:w="4320"/>
          </w:tcPr>
          <w:p>
            <w:r>
              <w:t>19.6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