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High body fat (M&gt;=25/F&gt;=35%) · KNHANES · 2008-2011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929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2105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2526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786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25.05</w:t>
            </w:r>
          </w:p>
        </w:tc>
        <w:tc>
          <w:tcPr>
            <w:tcW w:type="dxa" w:w="2880"/>
          </w:tcPr>
          <w:p>
            <w:r>
              <w:t>25.34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29.44</w:t>
            </w:r>
          </w:p>
        </w:tc>
        <w:tc>
          <w:tcPr>
            <w:tcW w:type="dxa" w:w="2880"/>
          </w:tcPr>
          <w:p>
            <w:r>
              <w:t>29.50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41.33</w:t>
            </w:r>
          </w:p>
        </w:tc>
        <w:tc>
          <w:tcPr>
            <w:tcW w:type="dxa" w:w="2880"/>
          </w:tcPr>
          <w:p>
            <w:r>
              <w:t>41.25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30.05</w:t>
            </w:r>
          </w:p>
        </w:tc>
        <w:tc>
          <w:tcPr>
            <w:tcW w:type="dxa" w:w="2880"/>
          </w:tcPr>
          <w:p>
            <w:r>
              <w:t>29.80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2012.00</w:t>
            </w:r>
          </w:p>
        </w:tc>
        <w:tc>
          <w:tcPr>
            <w:tcW w:type="dxa" w:w="2160"/>
          </w:tcPr>
          <w:p>
            <w:r>
              <w:t>37.76</w:t>
            </w:r>
          </w:p>
        </w:tc>
        <w:tc>
          <w:tcPr>
            <w:tcW w:type="dxa" w:w="2160"/>
          </w:tcPr>
          <w:p>
            <w:r>
              <w:t>14.95</w:t>
            </w:r>
          </w:p>
        </w:tc>
        <w:tc>
          <w:tcPr>
            <w:tcW w:type="dxa" w:w="2160"/>
          </w:tcPr>
          <w:p>
            <w:r>
              <w:t>60.57</w:t>
            </w:r>
          </w:p>
        </w:tc>
      </w:tr>
      <w:tr>
        <w:tc>
          <w:tcPr>
            <w:tcW w:type="dxa" w:w="2160"/>
          </w:tcPr>
          <w:p>
            <w:r>
              <w:t>2013.00</w:t>
            </w:r>
          </w:p>
        </w:tc>
        <w:tc>
          <w:tcPr>
            <w:tcW w:type="dxa" w:w="2160"/>
          </w:tcPr>
          <w:p>
            <w:r>
              <w:t>40.27</w:t>
            </w:r>
          </w:p>
        </w:tc>
        <w:tc>
          <w:tcPr>
            <w:tcW w:type="dxa" w:w="2160"/>
          </w:tcPr>
          <w:p>
            <w:r>
              <w:t>12.53</w:t>
            </w:r>
          </w:p>
        </w:tc>
        <w:tc>
          <w:tcPr>
            <w:tcW w:type="dxa" w:w="2160"/>
          </w:tcPr>
          <w:p>
            <w:r>
              <w:t>68.02</w:t>
            </w:r>
          </w:p>
        </w:tc>
      </w:tr>
      <w:tr>
        <w:tc>
          <w:tcPr>
            <w:tcW w:type="dxa" w:w="2160"/>
          </w:tcPr>
          <w:p>
            <w:r>
              <w:t>2014.00</w:t>
            </w:r>
          </w:p>
        </w:tc>
        <w:tc>
          <w:tcPr>
            <w:tcW w:type="dxa" w:w="2160"/>
          </w:tcPr>
          <w:p>
            <w:r>
              <w:t>42.79</w:t>
            </w:r>
          </w:p>
        </w:tc>
        <w:tc>
          <w:tcPr>
            <w:tcW w:type="dxa" w:w="2160"/>
          </w:tcPr>
          <w:p>
            <w:r>
              <w:t>9.58</w:t>
            </w:r>
          </w:p>
        </w:tc>
        <w:tc>
          <w:tcPr>
            <w:tcW w:type="dxa" w:w="2160"/>
          </w:tcPr>
          <w:p>
            <w:r>
              <w:t>76.00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21.60</w:t>
            </w:r>
          </w:p>
        </w:tc>
        <w:tc>
          <w:tcPr>
            <w:tcW w:type="dxa" w:w="2880"/>
          </w:tcPr>
          <w:p>
            <w:r>
              <w:t>28.48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26.26</w:t>
            </w:r>
          </w:p>
        </w:tc>
        <w:tc>
          <w:tcPr>
            <w:tcW w:type="dxa" w:w="2880"/>
          </w:tcPr>
          <w:p>
            <w:r>
              <w:t>32.57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38.38</w:t>
            </w:r>
          </w:p>
        </w:tc>
        <w:tc>
          <w:tcPr>
            <w:tcW w:type="dxa" w:w="2880"/>
          </w:tcPr>
          <w:p>
            <w:r>
              <w:t>44.23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24.74</w:t>
            </w:r>
          </w:p>
        </w:tc>
        <w:tc>
          <w:tcPr>
            <w:tcW w:type="dxa" w:w="2880"/>
          </w:tcPr>
          <w:p>
            <w:r>
              <w:t>35.03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2008-2011</w:t>
            </w:r>
          </w:p>
        </w:tc>
        <w:tc>
          <w:tcPr>
            <w:tcW w:type="dxa" w:w="1728"/>
          </w:tcPr>
          <w:p>
            <w:r>
              <w:t>8.57</w:t>
            </w:r>
          </w:p>
        </w:tc>
        <w:tc>
          <w:tcPr>
            <w:tcW w:type="dxa" w:w="1728"/>
          </w:tcPr>
          <w:p>
            <w:r>
              <w:t>-27.75</w:t>
            </w:r>
          </w:p>
        </w:tc>
        <w:tc>
          <w:tcPr>
            <w:tcW w:type="dxa" w:w="1728"/>
          </w:tcPr>
          <w:p>
            <w:r>
              <w:t>39.85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2012.00</w:t>
            </w:r>
          </w:p>
        </w:tc>
        <w:tc>
          <w:tcPr>
            <w:tcW w:type="dxa" w:w="2160"/>
          </w:tcPr>
          <w:p>
            <w:r>
              <w:t>43.72</w:t>
            </w:r>
          </w:p>
        </w:tc>
        <w:tc>
          <w:tcPr>
            <w:tcW w:type="dxa" w:w="2160"/>
          </w:tcPr>
          <w:p>
            <w:r>
              <w:t>31.48</w:t>
            </w:r>
          </w:p>
        </w:tc>
        <w:tc>
          <w:tcPr>
            <w:tcW w:type="dxa" w:w="2160"/>
          </w:tcPr>
          <w:p>
            <w:r>
              <w:t>60.71</w:t>
            </w:r>
          </w:p>
        </w:tc>
      </w:tr>
      <w:tr>
        <w:tc>
          <w:tcPr>
            <w:tcW w:type="dxa" w:w="2160"/>
          </w:tcPr>
          <w:p>
            <w:r>
              <w:t>2013.00</w:t>
            </w:r>
          </w:p>
        </w:tc>
        <w:tc>
          <w:tcPr>
            <w:tcW w:type="dxa" w:w="2160"/>
          </w:tcPr>
          <w:p>
            <w:r>
              <w:t>48.83</w:t>
            </w:r>
          </w:p>
        </w:tc>
        <w:tc>
          <w:tcPr>
            <w:tcW w:type="dxa" w:w="2160"/>
          </w:tcPr>
          <w:p>
            <w:r>
              <w:t>31.42</w:t>
            </w:r>
          </w:p>
        </w:tc>
        <w:tc>
          <w:tcPr>
            <w:tcW w:type="dxa" w:w="2160"/>
          </w:tcPr>
          <w:p>
            <w:r>
              <w:t>75.89</w:t>
            </w:r>
          </w:p>
        </w:tc>
      </w:tr>
      <w:tr>
        <w:tc>
          <w:tcPr>
            <w:tcW w:type="dxa" w:w="2160"/>
          </w:tcPr>
          <w:p>
            <w:r>
              <w:t>2014.00</w:t>
            </w:r>
          </w:p>
        </w:tc>
        <w:tc>
          <w:tcPr>
            <w:tcW w:type="dxa" w:w="2160"/>
          </w:tcPr>
          <w:p>
            <w:r>
              <w:t>54.55</w:t>
            </w:r>
          </w:p>
        </w:tc>
        <w:tc>
          <w:tcPr>
            <w:tcW w:type="dxa" w:w="2160"/>
          </w:tcPr>
          <w:p>
            <w:r>
              <w:t>31.27</w:t>
            </w:r>
          </w:p>
        </w:tc>
        <w:tc>
          <w:tcPr>
            <w:tcW w:type="dxa" w:w="2160"/>
          </w:tcPr>
          <w:p>
            <w:r>
              <w:t>95.16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High body fat (M&gt;=25/F&gt;=35%) showed an annual percent change of 8.57% (95% CI -27.75 to 39.85) in the latest segment.</w:t>
      </w:r>
    </w:p>
    <w:p>
      <w:r>
        <w:t>Note: only 4 time points were available. Adding more survey cycles stabilizes the trend and joinpoint estimates.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