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Incidence/Prevalence Trend Report</w:t>
      </w:r>
    </w:p>
    <w:p>
      <w:r>
        <w:t>Overweight (KSSO &gt;=23 / WHO &gt;=25, country-specific) · KNHANES · 2007-2024 · survey-weighted</w:t>
      </w:r>
    </w:p>
    <w:p>
      <w:pPr>
        <w:pStyle w:val="Heading1"/>
      </w:pPr>
      <w:r>
        <w:t>Figure. Incidence/prevalence trend</w:t>
      </w:r>
    </w:p>
    <w:p>
      <w:r>
        <w:drawing>
          <wp:inline xmlns:a="http://schemas.openxmlformats.org/drawingml/2006/main" xmlns:pic="http://schemas.openxmlformats.org/drawingml/2006/picture">
            <wp:extent cx="5486400" cy="31092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9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Counts by period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2007</w:t>
            </w:r>
          </w:p>
        </w:tc>
        <w:tc>
          <w:tcPr>
            <w:tcW w:type="dxa" w:w="4320"/>
          </w:tcPr>
          <w:p>
            <w:r>
              <w:t>1695</w:t>
            </w:r>
          </w:p>
        </w:tc>
      </w:tr>
      <w:tr>
        <w:tc>
          <w:tcPr>
            <w:tcW w:type="dxa" w:w="4320"/>
          </w:tcPr>
          <w:p>
            <w:r>
              <w:t>2008</w:t>
            </w:r>
          </w:p>
        </w:tc>
        <w:tc>
          <w:tcPr>
            <w:tcW w:type="dxa" w:w="4320"/>
          </w:tcPr>
          <w:p>
            <w:r>
              <w:t>3730</w:t>
            </w:r>
          </w:p>
        </w:tc>
      </w:tr>
      <w:tr>
        <w:tc>
          <w:tcPr>
            <w:tcW w:type="dxa" w:w="4320"/>
          </w:tcPr>
          <w:p>
            <w:r>
              <w:t>2009</w:t>
            </w:r>
          </w:p>
        </w:tc>
        <w:tc>
          <w:tcPr>
            <w:tcW w:type="dxa" w:w="4320"/>
          </w:tcPr>
          <w:p>
            <w:r>
              <w:t>4133</w:t>
            </w:r>
          </w:p>
        </w:tc>
      </w:tr>
      <w:tr>
        <w:tc>
          <w:tcPr>
            <w:tcW w:type="dxa" w:w="4320"/>
          </w:tcPr>
          <w:p>
            <w:r>
              <w:t>2010</w:t>
            </w:r>
          </w:p>
        </w:tc>
        <w:tc>
          <w:tcPr>
            <w:tcW w:type="dxa" w:w="4320"/>
          </w:tcPr>
          <w:p>
            <w:r>
              <w:t>3388</w:t>
            </w:r>
          </w:p>
        </w:tc>
      </w:tr>
      <w:tr>
        <w:tc>
          <w:tcPr>
            <w:tcW w:type="dxa" w:w="4320"/>
          </w:tcPr>
          <w:p>
            <w:r>
              <w:t>2011</w:t>
            </w:r>
          </w:p>
        </w:tc>
        <w:tc>
          <w:tcPr>
            <w:tcW w:type="dxa" w:w="4320"/>
          </w:tcPr>
          <w:p>
            <w:r>
              <w:t>3386</w:t>
            </w:r>
          </w:p>
        </w:tc>
      </w:tr>
      <w:tr>
        <w:tc>
          <w:tcPr>
            <w:tcW w:type="dxa" w:w="4320"/>
          </w:tcPr>
          <w:p>
            <w:r>
              <w:t>2012</w:t>
            </w:r>
          </w:p>
        </w:tc>
        <w:tc>
          <w:tcPr>
            <w:tcW w:type="dxa" w:w="4320"/>
          </w:tcPr>
          <w:p>
            <w:r>
              <w:t>3326</w:t>
            </w:r>
          </w:p>
        </w:tc>
      </w:tr>
      <w:tr>
        <w:tc>
          <w:tcPr>
            <w:tcW w:type="dxa" w:w="4320"/>
          </w:tcPr>
          <w:p>
            <w:r>
              <w:t>2013</w:t>
            </w:r>
          </w:p>
        </w:tc>
        <w:tc>
          <w:tcPr>
            <w:tcW w:type="dxa" w:w="4320"/>
          </w:tcPr>
          <w:p>
            <w:r>
              <w:t>3182</w:t>
            </w:r>
          </w:p>
        </w:tc>
      </w:tr>
      <w:tr>
        <w:tc>
          <w:tcPr>
            <w:tcW w:type="dxa" w:w="4320"/>
          </w:tcPr>
          <w:p>
            <w:r>
              <w:t>2014</w:t>
            </w:r>
          </w:p>
        </w:tc>
        <w:tc>
          <w:tcPr>
            <w:tcW w:type="dxa" w:w="4320"/>
          </w:tcPr>
          <w:p>
            <w:r>
              <w:t>3084</w:t>
            </w:r>
          </w:p>
        </w:tc>
      </w:tr>
      <w:tr>
        <w:tc>
          <w:tcPr>
            <w:tcW w:type="dxa" w:w="4320"/>
          </w:tcPr>
          <w:p>
            <w:r>
              <w:t>2015</w:t>
            </w:r>
          </w:p>
        </w:tc>
        <w:tc>
          <w:tcPr>
            <w:tcW w:type="dxa" w:w="4320"/>
          </w:tcPr>
          <w:p>
            <w:r>
              <w:t>3257</w:t>
            </w:r>
          </w:p>
        </w:tc>
      </w:tr>
      <w:tr>
        <w:tc>
          <w:tcPr>
            <w:tcW w:type="dxa" w:w="4320"/>
          </w:tcPr>
          <w:p>
            <w:r>
              <w:t>2016</w:t>
            </w:r>
          </w:p>
        </w:tc>
        <w:tc>
          <w:tcPr>
            <w:tcW w:type="dxa" w:w="4320"/>
          </w:tcPr>
          <w:p>
            <w:r>
              <w:t>3539</w:t>
            </w:r>
          </w:p>
        </w:tc>
      </w:tr>
      <w:tr>
        <w:tc>
          <w:tcPr>
            <w:tcW w:type="dxa" w:w="4320"/>
          </w:tcPr>
          <w:p>
            <w:r>
              <w:t>2017</w:t>
            </w:r>
          </w:p>
        </w:tc>
        <w:tc>
          <w:tcPr>
            <w:tcW w:type="dxa" w:w="4320"/>
          </w:tcPr>
          <w:p>
            <w:r>
              <w:t>3535</w:t>
            </w:r>
          </w:p>
        </w:tc>
      </w:tr>
      <w:tr>
        <w:tc>
          <w:tcPr>
            <w:tcW w:type="dxa" w:w="4320"/>
          </w:tcPr>
          <w:p>
            <w:r>
              <w:t>2018</w:t>
            </w:r>
          </w:p>
        </w:tc>
        <w:tc>
          <w:tcPr>
            <w:tcW w:type="dxa" w:w="4320"/>
          </w:tcPr>
          <w:p>
            <w:r>
              <w:t>3551</w:t>
            </w:r>
          </w:p>
        </w:tc>
      </w:tr>
      <w:tr>
        <w:tc>
          <w:tcPr>
            <w:tcW w:type="dxa" w:w="4320"/>
          </w:tcPr>
          <w:p>
            <w:r>
              <w:t>2019</w:t>
            </w:r>
          </w:p>
        </w:tc>
        <w:tc>
          <w:tcPr>
            <w:tcW w:type="dxa" w:w="4320"/>
          </w:tcPr>
          <w:p>
            <w:r>
              <w:t>3553</w:t>
            </w:r>
          </w:p>
        </w:tc>
      </w:tr>
      <w:tr>
        <w:tc>
          <w:tcPr>
            <w:tcW w:type="dxa" w:w="4320"/>
          </w:tcPr>
          <w:p>
            <w:r>
              <w:t>2020</w:t>
            </w:r>
          </w:p>
        </w:tc>
        <w:tc>
          <w:tcPr>
            <w:tcW w:type="dxa" w:w="4320"/>
          </w:tcPr>
          <w:p>
            <w:r>
              <w:t>3520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3296</w:t>
            </w:r>
          </w:p>
        </w:tc>
      </w:tr>
      <w:tr>
        <w:tc>
          <w:tcPr>
            <w:tcW w:type="dxa" w:w="4320"/>
          </w:tcPr>
          <w:p>
            <w:r>
              <w:t>2022</w:t>
            </w:r>
          </w:p>
        </w:tc>
        <w:tc>
          <w:tcPr>
            <w:tcW w:type="dxa" w:w="4320"/>
          </w:tcPr>
          <w:p>
            <w:r>
              <w:t>3030</w:t>
            </w:r>
          </w:p>
        </w:tc>
      </w:tr>
      <w:tr>
        <w:tc>
          <w:tcPr>
            <w:tcW w:type="dxa" w:w="4320"/>
          </w:tcPr>
          <w:p>
            <w:r>
              <w:t>2023</w:t>
            </w:r>
          </w:p>
        </w:tc>
        <w:tc>
          <w:tcPr>
            <w:tcW w:type="dxa" w:w="4320"/>
          </w:tcPr>
          <w:p>
            <w:r>
              <w:t>3357</w:t>
            </w:r>
          </w:p>
        </w:tc>
      </w:tr>
      <w:tr>
        <w:tc>
          <w:tcPr>
            <w:tcW w:type="dxa" w:w="4320"/>
          </w:tcPr>
          <w:p>
            <w:r>
              <w:t>2024</w:t>
            </w:r>
          </w:p>
        </w:tc>
        <w:tc>
          <w:tcPr>
            <w:tcW w:type="dxa" w:w="4320"/>
          </w:tcPr>
          <w:p>
            <w:r>
              <w:t>3488</w:t>
            </w:r>
          </w:p>
        </w:tc>
      </w:tr>
    </w:tbl>
    <w:p>
      <w:pPr>
        <w:pStyle w:val="Heading1"/>
      </w:pPr>
      <w:r>
        <w:t>Crude and age-sex standardized rate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crude</w:t>
            </w:r>
          </w:p>
        </w:tc>
        <w:tc>
          <w:tcPr>
            <w:tcW w:type="dxa" w:w="2880"/>
          </w:tcPr>
          <w:p>
            <w:r>
              <w:t>standardized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56.17</w:t>
            </w:r>
          </w:p>
        </w:tc>
        <w:tc>
          <w:tcPr>
            <w:tcW w:type="dxa" w:w="2880"/>
          </w:tcPr>
          <w:p>
            <w:r>
              <w:t>57.59</w:t>
            </w:r>
          </w:p>
        </w:tc>
      </w:tr>
      <w:tr>
        <w:tc>
          <w:tcPr>
            <w:tcW w:type="dxa" w:w="2880"/>
          </w:tcPr>
          <w:p>
            <w:r>
              <w:t>2008.00</w:t>
            </w:r>
          </w:p>
        </w:tc>
        <w:tc>
          <w:tcPr>
            <w:tcW w:type="dxa" w:w="2880"/>
          </w:tcPr>
          <w:p>
            <w:r>
              <w:t>55.33</w:t>
            </w:r>
          </w:p>
        </w:tc>
        <w:tc>
          <w:tcPr>
            <w:tcW w:type="dxa" w:w="2880"/>
          </w:tcPr>
          <w:p>
            <w:r>
              <w:t>56.33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55.47</w:t>
            </w:r>
          </w:p>
        </w:tc>
        <w:tc>
          <w:tcPr>
            <w:tcW w:type="dxa" w:w="2880"/>
          </w:tcPr>
          <w:p>
            <w:r>
              <w:t>56.40</w:t>
            </w:r>
          </w:p>
        </w:tc>
      </w:tr>
      <w:tr>
        <w:tc>
          <w:tcPr>
            <w:tcW w:type="dxa" w:w="2880"/>
          </w:tcPr>
          <w:p>
            <w:r>
              <w:t>2010.00</w:t>
            </w:r>
          </w:p>
        </w:tc>
        <w:tc>
          <w:tcPr>
            <w:tcW w:type="dxa" w:w="2880"/>
          </w:tcPr>
          <w:p>
            <w:r>
              <w:t>54.38</w:t>
            </w:r>
          </w:p>
        </w:tc>
        <w:tc>
          <w:tcPr>
            <w:tcW w:type="dxa" w:w="2880"/>
          </w:tcPr>
          <w:p>
            <w:r>
              <w:t>55.13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55.72</w:t>
            </w:r>
          </w:p>
        </w:tc>
        <w:tc>
          <w:tcPr>
            <w:tcW w:type="dxa" w:w="2880"/>
          </w:tcPr>
          <w:p>
            <w:r>
              <w:t>56.23</w:t>
            </w:r>
          </w:p>
        </w:tc>
      </w:tr>
      <w:tr>
        <w:tc>
          <w:tcPr>
            <w:tcW w:type="dxa" w:w="2880"/>
          </w:tcPr>
          <w:p>
            <w:r>
              <w:t>2012.00</w:t>
            </w:r>
          </w:p>
        </w:tc>
        <w:tc>
          <w:tcPr>
            <w:tcW w:type="dxa" w:w="2880"/>
          </w:tcPr>
          <w:p>
            <w:r>
              <w:t>55.53</w:t>
            </w:r>
          </w:p>
        </w:tc>
        <w:tc>
          <w:tcPr>
            <w:tcW w:type="dxa" w:w="2880"/>
          </w:tcPr>
          <w:p>
            <w:r>
              <w:t>55.99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55.43</w:t>
            </w:r>
          </w:p>
        </w:tc>
        <w:tc>
          <w:tcPr>
            <w:tcW w:type="dxa" w:w="2880"/>
          </w:tcPr>
          <w:p>
            <w:r>
              <w:t>55.66</w:t>
            </w:r>
          </w:p>
        </w:tc>
      </w:tr>
      <w:tr>
        <w:tc>
          <w:tcPr>
            <w:tcW w:type="dxa" w:w="2880"/>
          </w:tcPr>
          <w:p>
            <w:r>
              <w:t>2014.00</w:t>
            </w:r>
          </w:p>
        </w:tc>
        <w:tc>
          <w:tcPr>
            <w:tcW w:type="dxa" w:w="2880"/>
          </w:tcPr>
          <w:p>
            <w:r>
              <w:t>54.52</w:t>
            </w:r>
          </w:p>
        </w:tc>
        <w:tc>
          <w:tcPr>
            <w:tcW w:type="dxa" w:w="2880"/>
          </w:tcPr>
          <w:p>
            <w:r>
              <w:t>54.71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57.69</w:t>
            </w:r>
          </w:p>
        </w:tc>
        <w:tc>
          <w:tcPr>
            <w:tcW w:type="dxa" w:w="2880"/>
          </w:tcPr>
          <w:p>
            <w:r>
              <w:t>57.78</w:t>
            </w:r>
          </w:p>
        </w:tc>
      </w:tr>
      <w:tr>
        <w:tc>
          <w:tcPr>
            <w:tcW w:type="dxa" w:w="2880"/>
          </w:tcPr>
          <w:p>
            <w:r>
              <w:t>2016.00</w:t>
            </w:r>
          </w:p>
        </w:tc>
        <w:tc>
          <w:tcPr>
            <w:tcW w:type="dxa" w:w="2880"/>
          </w:tcPr>
          <w:p>
            <w:r>
              <w:t>58.59</w:t>
            </w:r>
          </w:p>
        </w:tc>
        <w:tc>
          <w:tcPr>
            <w:tcW w:type="dxa" w:w="2880"/>
          </w:tcPr>
          <w:p>
            <w:r>
              <w:t>58.52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57.36</w:t>
            </w:r>
          </w:p>
        </w:tc>
        <w:tc>
          <w:tcPr>
            <w:tcW w:type="dxa" w:w="2880"/>
          </w:tcPr>
          <w:p>
            <w:r>
              <w:t>57.18</w:t>
            </w:r>
          </w:p>
        </w:tc>
      </w:tr>
      <w:tr>
        <w:tc>
          <w:tcPr>
            <w:tcW w:type="dxa" w:w="2880"/>
          </w:tcPr>
          <w:p>
            <w:r>
              <w:t>2018.00</w:t>
            </w:r>
          </w:p>
        </w:tc>
        <w:tc>
          <w:tcPr>
            <w:tcW w:type="dxa" w:w="2880"/>
          </w:tcPr>
          <w:p>
            <w:r>
              <w:t>57.82</w:t>
            </w:r>
          </w:p>
        </w:tc>
        <w:tc>
          <w:tcPr>
            <w:tcW w:type="dxa" w:w="2880"/>
          </w:tcPr>
          <w:p>
            <w:r>
              <w:t>57.58</w:t>
            </w:r>
          </w:p>
        </w:tc>
      </w:tr>
      <w:tr>
        <w:tc>
          <w:tcPr>
            <w:tcW w:type="dxa" w:w="2880"/>
          </w:tcPr>
          <w:p>
            <w:r>
              <w:t>2019.00</w:t>
            </w:r>
          </w:p>
        </w:tc>
        <w:tc>
          <w:tcPr>
            <w:tcW w:type="dxa" w:w="2880"/>
          </w:tcPr>
          <w:p>
            <w:r>
              <w:t>57.24</w:t>
            </w:r>
          </w:p>
        </w:tc>
        <w:tc>
          <w:tcPr>
            <w:tcW w:type="dxa" w:w="2880"/>
          </w:tcPr>
          <w:p>
            <w:r>
              <w:t>56.90</w:t>
            </w:r>
          </w:p>
        </w:tc>
      </w:tr>
      <w:tr>
        <w:tc>
          <w:tcPr>
            <w:tcW w:type="dxa" w:w="2880"/>
          </w:tcPr>
          <w:p>
            <w:r>
              <w:t>2020.00</w:t>
            </w:r>
          </w:p>
        </w:tc>
        <w:tc>
          <w:tcPr>
            <w:tcW w:type="dxa" w:w="2880"/>
          </w:tcPr>
          <w:p>
            <w:r>
              <w:t>61.89</w:t>
            </w:r>
          </w:p>
        </w:tc>
        <w:tc>
          <w:tcPr>
            <w:tcW w:type="dxa" w:w="2880"/>
          </w:tcPr>
          <w:p>
            <w:r>
              <w:t>61.55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59.18</w:t>
            </w:r>
          </w:p>
        </w:tc>
        <w:tc>
          <w:tcPr>
            <w:tcW w:type="dxa" w:w="2880"/>
          </w:tcPr>
          <w:p>
            <w:r>
              <w:t>58.73</w:t>
            </w:r>
          </w:p>
        </w:tc>
      </w:tr>
      <w:tr>
        <w:tc>
          <w:tcPr>
            <w:tcW w:type="dxa" w:w="2880"/>
          </w:tcPr>
          <w:p>
            <w:r>
              <w:t>2022.00</w:t>
            </w:r>
          </w:p>
        </w:tc>
        <w:tc>
          <w:tcPr>
            <w:tcW w:type="dxa" w:w="2880"/>
          </w:tcPr>
          <w:p>
            <w:r>
              <w:t>59.84</w:t>
            </w:r>
          </w:p>
        </w:tc>
        <w:tc>
          <w:tcPr>
            <w:tcW w:type="dxa" w:w="2880"/>
          </w:tcPr>
          <w:p>
            <w:r>
              <w:t>59.38</w:t>
            </w:r>
          </w:p>
        </w:tc>
      </w:tr>
      <w:tr>
        <w:tc>
          <w:tcPr>
            <w:tcW w:type="dxa" w:w="2880"/>
          </w:tcPr>
          <w:p>
            <w:r>
              <w:t>2023.00</w:t>
            </w:r>
          </w:p>
        </w:tc>
        <w:tc>
          <w:tcPr>
            <w:tcW w:type="dxa" w:w="2880"/>
          </w:tcPr>
          <w:p>
            <w:r>
              <w:t>59.40</w:t>
            </w:r>
          </w:p>
        </w:tc>
        <w:tc>
          <w:tcPr>
            <w:tcW w:type="dxa" w:w="2880"/>
          </w:tcPr>
          <w:p>
            <w:r>
              <w:t>58.93</w:t>
            </w:r>
          </w:p>
        </w:tc>
      </w:tr>
      <w:tr>
        <w:tc>
          <w:tcPr>
            <w:tcW w:type="dxa" w:w="2880"/>
          </w:tcPr>
          <w:p>
            <w:r>
              <w:t>2024.00</w:t>
            </w:r>
          </w:p>
        </w:tc>
        <w:tc>
          <w:tcPr>
            <w:tcW w:type="dxa" w:w="2880"/>
          </w:tcPr>
          <w:p>
            <w:r>
              <w:t>60.55</w:t>
            </w:r>
          </w:p>
        </w:tc>
        <w:tc>
          <w:tcPr>
            <w:tcW w:type="dxa" w:w="2880"/>
          </w:tcPr>
          <w:p>
            <w:r>
              <w:t>60.08</w:t>
            </w:r>
          </w:p>
        </w:tc>
      </w:tr>
    </w:tbl>
    <w:p>
      <w:pPr>
        <w:pStyle w:val="Heading1"/>
      </w:pPr>
      <w:r>
        <w:t>Projection (linear, standardized rate)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2025.00</w:t>
            </w:r>
          </w:p>
        </w:tc>
        <w:tc>
          <w:tcPr>
            <w:tcW w:type="dxa" w:w="2160"/>
          </w:tcPr>
          <w:p>
            <w:r>
              <w:t>59.75</w:t>
            </w:r>
          </w:p>
        </w:tc>
        <w:tc>
          <w:tcPr>
            <w:tcW w:type="dxa" w:w="2160"/>
          </w:tcPr>
          <w:p>
            <w:r>
              <w:t>56.90</w:t>
            </w:r>
          </w:p>
        </w:tc>
        <w:tc>
          <w:tcPr>
            <w:tcW w:type="dxa" w:w="2160"/>
          </w:tcPr>
          <w:p>
            <w:r>
              <w:t>62.60</w:t>
            </w:r>
          </w:p>
        </w:tc>
      </w:tr>
      <w:tr>
        <w:tc>
          <w:tcPr>
            <w:tcW w:type="dxa" w:w="2160"/>
          </w:tcPr>
          <w:p>
            <w:r>
              <w:t>2026.00</w:t>
            </w:r>
          </w:p>
        </w:tc>
        <w:tc>
          <w:tcPr>
            <w:tcW w:type="dxa" w:w="2160"/>
          </w:tcPr>
          <w:p>
            <w:r>
              <w:t>59.99</w:t>
            </w:r>
          </w:p>
        </w:tc>
        <w:tc>
          <w:tcPr>
            <w:tcW w:type="dxa" w:w="2160"/>
          </w:tcPr>
          <w:p>
            <w:r>
              <w:t>57.09</w:t>
            </w:r>
          </w:p>
        </w:tc>
        <w:tc>
          <w:tcPr>
            <w:tcW w:type="dxa" w:w="2160"/>
          </w:tcPr>
          <w:p>
            <w:r>
              <w:t>62.89</w:t>
            </w:r>
          </w:p>
        </w:tc>
      </w:tr>
      <w:tr>
        <w:tc>
          <w:tcPr>
            <w:tcW w:type="dxa" w:w="2160"/>
          </w:tcPr>
          <w:p>
            <w:r>
              <w:t>2027.00</w:t>
            </w:r>
          </w:p>
        </w:tc>
        <w:tc>
          <w:tcPr>
            <w:tcW w:type="dxa" w:w="2160"/>
          </w:tcPr>
          <w:p>
            <w:r>
              <w:t>60.23</w:t>
            </w:r>
          </w:p>
        </w:tc>
        <w:tc>
          <w:tcPr>
            <w:tcW w:type="dxa" w:w="2160"/>
          </w:tcPr>
          <w:p>
            <w:r>
              <w:t>57.28</w:t>
            </w:r>
          </w:p>
        </w:tc>
        <w:tc>
          <w:tcPr>
            <w:tcW w:type="dxa" w:w="2160"/>
          </w:tcPr>
          <w:p>
            <w:r>
              <w:t>63.18</w:t>
            </w:r>
          </w:p>
        </w:tc>
      </w:tr>
    </w:tbl>
    <w:p>
      <w:pPr>
        <w:pStyle w:val="Heading1"/>
      </w:pPr>
      <w:r>
        <w:t>Stratified trend by sex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men</w:t>
            </w:r>
          </w:p>
        </w:tc>
        <w:tc>
          <w:tcPr>
            <w:tcW w:type="dxa" w:w="2880"/>
          </w:tcPr>
          <w:p>
            <w:r>
              <w:t>women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63.61</w:t>
            </w:r>
          </w:p>
        </w:tc>
        <w:tc>
          <w:tcPr>
            <w:tcW w:type="dxa" w:w="2880"/>
          </w:tcPr>
          <w:p>
            <w:r>
              <w:t>48.85</w:t>
            </w:r>
          </w:p>
        </w:tc>
      </w:tr>
      <w:tr>
        <w:tc>
          <w:tcPr>
            <w:tcW w:type="dxa" w:w="2880"/>
          </w:tcPr>
          <w:p>
            <w:r>
              <w:t>2008.00</w:t>
            </w:r>
          </w:p>
        </w:tc>
        <w:tc>
          <w:tcPr>
            <w:tcW w:type="dxa" w:w="2880"/>
          </w:tcPr>
          <w:p>
            <w:r>
              <w:t>62.86</w:t>
            </w:r>
          </w:p>
        </w:tc>
        <w:tc>
          <w:tcPr>
            <w:tcW w:type="dxa" w:w="2880"/>
          </w:tcPr>
          <w:p>
            <w:r>
              <w:t>47.96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61.71</w:t>
            </w:r>
          </w:p>
        </w:tc>
        <w:tc>
          <w:tcPr>
            <w:tcW w:type="dxa" w:w="2880"/>
          </w:tcPr>
          <w:p>
            <w:r>
              <w:t>49.34</w:t>
            </w:r>
          </w:p>
        </w:tc>
      </w:tr>
      <w:tr>
        <w:tc>
          <w:tcPr>
            <w:tcW w:type="dxa" w:w="2880"/>
          </w:tcPr>
          <w:p>
            <w:r>
              <w:t>2010.00</w:t>
            </w:r>
          </w:p>
        </w:tc>
        <w:tc>
          <w:tcPr>
            <w:tcW w:type="dxa" w:w="2880"/>
          </w:tcPr>
          <w:p>
            <w:r>
              <w:t>61.51</w:t>
            </w:r>
          </w:p>
        </w:tc>
        <w:tc>
          <w:tcPr>
            <w:tcW w:type="dxa" w:w="2880"/>
          </w:tcPr>
          <w:p>
            <w:r>
              <w:t>47.44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62.03</w:t>
            </w:r>
          </w:p>
        </w:tc>
        <w:tc>
          <w:tcPr>
            <w:tcW w:type="dxa" w:w="2880"/>
          </w:tcPr>
          <w:p>
            <w:r>
              <w:t>49.53</w:t>
            </w:r>
          </w:p>
        </w:tc>
      </w:tr>
      <w:tr>
        <w:tc>
          <w:tcPr>
            <w:tcW w:type="dxa" w:w="2880"/>
          </w:tcPr>
          <w:p>
            <w:r>
              <w:t>2012.00</w:t>
            </w:r>
          </w:p>
        </w:tc>
        <w:tc>
          <w:tcPr>
            <w:tcW w:type="dxa" w:w="2880"/>
          </w:tcPr>
          <w:p>
            <w:r>
              <w:t>61.05</w:t>
            </w:r>
          </w:p>
        </w:tc>
        <w:tc>
          <w:tcPr>
            <w:tcW w:type="dxa" w:w="2880"/>
          </w:tcPr>
          <w:p>
            <w:r>
              <w:t>50.12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63.06</w:t>
            </w:r>
          </w:p>
        </w:tc>
        <w:tc>
          <w:tcPr>
            <w:tcW w:type="dxa" w:w="2880"/>
          </w:tcPr>
          <w:p>
            <w:r>
              <w:t>47.93</w:t>
            </w:r>
          </w:p>
        </w:tc>
      </w:tr>
      <w:tr>
        <w:tc>
          <w:tcPr>
            <w:tcW w:type="dxa" w:w="2880"/>
          </w:tcPr>
          <w:p>
            <w:r>
              <w:t>2014.00</w:t>
            </w:r>
          </w:p>
        </w:tc>
        <w:tc>
          <w:tcPr>
            <w:tcW w:type="dxa" w:w="2880"/>
          </w:tcPr>
          <w:p>
            <w:r>
              <w:t>62.96</w:t>
            </w:r>
          </w:p>
        </w:tc>
        <w:tc>
          <w:tcPr>
            <w:tcW w:type="dxa" w:w="2880"/>
          </w:tcPr>
          <w:p>
            <w:r>
              <w:t>46.24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66.00</w:t>
            </w:r>
          </w:p>
        </w:tc>
        <w:tc>
          <w:tcPr>
            <w:tcW w:type="dxa" w:w="2880"/>
          </w:tcPr>
          <w:p>
            <w:r>
              <w:t>49.57</w:t>
            </w:r>
          </w:p>
        </w:tc>
      </w:tr>
      <w:tr>
        <w:tc>
          <w:tcPr>
            <w:tcW w:type="dxa" w:w="2880"/>
          </w:tcPr>
          <w:p>
            <w:r>
              <w:t>2016.00</w:t>
            </w:r>
          </w:p>
        </w:tc>
        <w:tc>
          <w:tcPr>
            <w:tcW w:type="dxa" w:w="2880"/>
          </w:tcPr>
          <w:p>
            <w:r>
              <w:t>67.03</w:t>
            </w:r>
          </w:p>
        </w:tc>
        <w:tc>
          <w:tcPr>
            <w:tcW w:type="dxa" w:w="2880"/>
          </w:tcPr>
          <w:p>
            <w:r>
              <w:t>50.26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66.74</w:t>
            </w:r>
          </w:p>
        </w:tc>
        <w:tc>
          <w:tcPr>
            <w:tcW w:type="dxa" w:w="2880"/>
          </w:tcPr>
          <w:p>
            <w:r>
              <w:t>48.07</w:t>
            </w:r>
          </w:p>
        </w:tc>
      </w:tr>
      <w:tr>
        <w:tc>
          <w:tcPr>
            <w:tcW w:type="dxa" w:w="2880"/>
          </w:tcPr>
          <w:p>
            <w:r>
              <w:t>2018.00</w:t>
            </w:r>
          </w:p>
        </w:tc>
        <w:tc>
          <w:tcPr>
            <w:tcW w:type="dxa" w:w="2880"/>
          </w:tcPr>
          <w:p>
            <w:r>
              <w:t>67.87</w:t>
            </w:r>
          </w:p>
        </w:tc>
        <w:tc>
          <w:tcPr>
            <w:tcW w:type="dxa" w:w="2880"/>
          </w:tcPr>
          <w:p>
            <w:r>
              <w:t>47.85</w:t>
            </w:r>
          </w:p>
        </w:tc>
      </w:tr>
      <w:tr>
        <w:tc>
          <w:tcPr>
            <w:tcW w:type="dxa" w:w="2880"/>
          </w:tcPr>
          <w:p>
            <w:r>
              <w:t>2019.00</w:t>
            </w:r>
          </w:p>
        </w:tc>
        <w:tc>
          <w:tcPr>
            <w:tcW w:type="dxa" w:w="2880"/>
          </w:tcPr>
          <w:p>
            <w:r>
              <w:t>67.60</w:t>
            </w:r>
          </w:p>
        </w:tc>
        <w:tc>
          <w:tcPr>
            <w:tcW w:type="dxa" w:w="2880"/>
          </w:tcPr>
          <w:p>
            <w:r>
              <w:t>46.97</w:t>
            </w:r>
          </w:p>
        </w:tc>
      </w:tr>
      <w:tr>
        <w:tc>
          <w:tcPr>
            <w:tcW w:type="dxa" w:w="2880"/>
          </w:tcPr>
          <w:p>
            <w:r>
              <w:t>2020.00</w:t>
            </w:r>
          </w:p>
        </w:tc>
        <w:tc>
          <w:tcPr>
            <w:tcW w:type="dxa" w:w="2880"/>
          </w:tcPr>
          <w:p>
            <w:r>
              <w:t>73.85</w:t>
            </w:r>
          </w:p>
        </w:tc>
        <w:tc>
          <w:tcPr>
            <w:tcW w:type="dxa" w:w="2880"/>
          </w:tcPr>
          <w:p>
            <w:r>
              <w:t>49.91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70.36</w:t>
            </w:r>
          </w:p>
        </w:tc>
        <w:tc>
          <w:tcPr>
            <w:tcW w:type="dxa" w:w="2880"/>
          </w:tcPr>
          <w:p>
            <w:r>
              <w:t>47.94</w:t>
            </w:r>
          </w:p>
        </w:tc>
      </w:tr>
      <w:tr>
        <w:tc>
          <w:tcPr>
            <w:tcW w:type="dxa" w:w="2880"/>
          </w:tcPr>
          <w:p>
            <w:r>
              <w:t>2022.00</w:t>
            </w:r>
          </w:p>
        </w:tc>
        <w:tc>
          <w:tcPr>
            <w:tcW w:type="dxa" w:w="2880"/>
          </w:tcPr>
          <w:p>
            <w:r>
              <w:t>69.77</w:t>
            </w:r>
          </w:p>
        </w:tc>
        <w:tc>
          <w:tcPr>
            <w:tcW w:type="dxa" w:w="2880"/>
          </w:tcPr>
          <w:p>
            <w:r>
              <w:t>49.96</w:t>
            </w:r>
          </w:p>
        </w:tc>
      </w:tr>
      <w:tr>
        <w:tc>
          <w:tcPr>
            <w:tcW w:type="dxa" w:w="2880"/>
          </w:tcPr>
          <w:p>
            <w:r>
              <w:t>2023.00</w:t>
            </w:r>
          </w:p>
        </w:tc>
        <w:tc>
          <w:tcPr>
            <w:tcW w:type="dxa" w:w="2880"/>
          </w:tcPr>
          <w:p>
            <w:r>
              <w:t>69.18</w:t>
            </w:r>
          </w:p>
        </w:tc>
        <w:tc>
          <w:tcPr>
            <w:tcW w:type="dxa" w:w="2880"/>
          </w:tcPr>
          <w:p>
            <w:r>
              <w:t>49.60</w:t>
            </w:r>
          </w:p>
        </w:tc>
      </w:tr>
      <w:tr>
        <w:tc>
          <w:tcPr>
            <w:tcW w:type="dxa" w:w="2880"/>
          </w:tcPr>
          <w:p>
            <w:r>
              <w:t>2024.00</w:t>
            </w:r>
          </w:p>
        </w:tc>
        <w:tc>
          <w:tcPr>
            <w:tcW w:type="dxa" w:w="2880"/>
          </w:tcPr>
          <w:p>
            <w:r>
              <w:t>72.42</w:t>
            </w:r>
          </w:p>
        </w:tc>
        <w:tc>
          <w:tcPr>
            <w:tcW w:type="dxa" w:w="2880"/>
          </w:tcPr>
          <w:p>
            <w:r>
              <w:t>48.68</w:t>
            </w:r>
          </w:p>
        </w:tc>
      </w:tr>
    </w:tbl>
    <w:p>
      <w:pPr>
        <w:pStyle w:val="Heading1"/>
      </w:pPr>
      <w:r>
        <w:t>Joinpoint regression — segment APC (%) with bootstrap 95% CI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segment</w:t>
            </w:r>
          </w:p>
        </w:tc>
        <w:tc>
          <w:tcPr>
            <w:tcW w:type="dxa" w:w="1728"/>
          </w:tcPr>
          <w:p>
            <w:r>
              <w:t>period</w:t>
            </w:r>
          </w:p>
        </w:tc>
        <w:tc>
          <w:tcPr>
            <w:tcW w:type="dxa" w:w="1728"/>
          </w:tcPr>
          <w:p>
            <w:r>
              <w:t>APC(%)</w:t>
            </w:r>
          </w:p>
        </w:tc>
        <w:tc>
          <w:tcPr>
            <w:tcW w:type="dxa" w:w="1728"/>
          </w:tcPr>
          <w:p>
            <w:r>
              <w:t>lo95</w:t>
            </w:r>
          </w:p>
        </w:tc>
        <w:tc>
          <w:tcPr>
            <w:tcW w:type="dxa" w:w="1728"/>
          </w:tcPr>
          <w:p>
            <w:r>
              <w:t>hi95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2007-2010</w:t>
            </w:r>
          </w:p>
        </w:tc>
        <w:tc>
          <w:tcPr>
            <w:tcW w:type="dxa" w:w="1728"/>
          </w:tcPr>
          <w:p>
            <w:r>
              <w:t>-1.29</w:t>
            </w:r>
          </w:p>
        </w:tc>
        <w:tc>
          <w:tcPr>
            <w:tcW w:type="dxa" w:w="1728"/>
          </w:tcPr>
          <w:p>
            <w:r>
              <w:t>-2.26</w:t>
            </w:r>
          </w:p>
        </w:tc>
        <w:tc>
          <w:tcPr>
            <w:tcW w:type="dxa" w:w="1728"/>
          </w:tcPr>
          <w:p>
            <w:r>
              <w:t>0.12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2010-2024</w:t>
            </w:r>
          </w:p>
        </w:tc>
        <w:tc>
          <w:tcPr>
            <w:tcW w:type="dxa" w:w="1728"/>
          </w:tcPr>
          <w:p>
            <w:r>
              <w:t>0.61</w:t>
            </w:r>
          </w:p>
        </w:tc>
        <w:tc>
          <w:tcPr>
            <w:tcW w:type="dxa" w:w="1728"/>
          </w:tcPr>
          <w:p>
            <w:r>
              <w:t>0.46</w:t>
            </w:r>
          </w:p>
        </w:tc>
        <w:tc>
          <w:tcPr>
            <w:tcW w:type="dxa" w:w="1728"/>
          </w:tcPr>
          <w:p>
            <w:r>
              <w:t>0.82</w:t>
            </w:r>
          </w:p>
        </w:tc>
      </w:tr>
    </w:tbl>
    <w:p>
      <w:pPr>
        <w:pStyle w:val="Heading1"/>
      </w:pPr>
      <w:r>
        <w:t>Negative binomial (NB) forecast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NB_forecast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2025.00</w:t>
            </w:r>
          </w:p>
        </w:tc>
        <w:tc>
          <w:tcPr>
            <w:tcW w:type="dxa" w:w="2160"/>
          </w:tcPr>
          <w:p>
            <w:r>
              <w:t>59.97</w:t>
            </w:r>
          </w:p>
        </w:tc>
        <w:tc>
          <w:tcPr>
            <w:tcW w:type="dxa" w:w="2160"/>
          </w:tcPr>
          <w:p>
            <w:r>
              <w:t>58.91</w:t>
            </w:r>
          </w:p>
        </w:tc>
        <w:tc>
          <w:tcPr>
            <w:tcW w:type="dxa" w:w="2160"/>
          </w:tcPr>
          <w:p>
            <w:r>
              <w:t>61.05</w:t>
            </w:r>
          </w:p>
        </w:tc>
      </w:tr>
      <w:tr>
        <w:tc>
          <w:tcPr>
            <w:tcW w:type="dxa" w:w="2160"/>
          </w:tcPr>
          <w:p>
            <w:r>
              <w:t>2026.00</w:t>
            </w:r>
          </w:p>
        </w:tc>
        <w:tc>
          <w:tcPr>
            <w:tcW w:type="dxa" w:w="2160"/>
          </w:tcPr>
          <w:p>
            <w:r>
              <w:t>60.26</w:t>
            </w:r>
          </w:p>
        </w:tc>
        <w:tc>
          <w:tcPr>
            <w:tcW w:type="dxa" w:w="2160"/>
          </w:tcPr>
          <w:p>
            <w:r>
              <w:t>59.11</w:t>
            </w:r>
          </w:p>
        </w:tc>
        <w:tc>
          <w:tcPr>
            <w:tcW w:type="dxa" w:w="2160"/>
          </w:tcPr>
          <w:p>
            <w:r>
              <w:t>61.44</w:t>
            </w:r>
          </w:p>
        </w:tc>
      </w:tr>
      <w:tr>
        <w:tc>
          <w:tcPr>
            <w:tcW w:type="dxa" w:w="2160"/>
          </w:tcPr>
          <w:p>
            <w:r>
              <w:t>2027.00</w:t>
            </w:r>
          </w:p>
        </w:tc>
        <w:tc>
          <w:tcPr>
            <w:tcW w:type="dxa" w:w="2160"/>
          </w:tcPr>
          <w:p>
            <w:r>
              <w:t>60.55</w:t>
            </w:r>
          </w:p>
        </w:tc>
        <w:tc>
          <w:tcPr>
            <w:tcW w:type="dxa" w:w="2160"/>
          </w:tcPr>
          <w:p>
            <w:r>
              <w:t>59.30</w:t>
            </w:r>
          </w:p>
        </w:tc>
        <w:tc>
          <w:tcPr>
            <w:tcW w:type="dxa" w:w="2160"/>
          </w:tcPr>
          <w:p>
            <w:r>
              <w:t>61.83</w:t>
            </w:r>
          </w:p>
        </w:tc>
      </w:tr>
    </w:tbl>
    <w:p>
      <w:pPr>
        <w:pStyle w:val="Heading1"/>
      </w:pPr>
      <w:r>
        <w:t>Interpretation</w:t>
      </w:r>
    </w:p>
    <w:p>
      <w:r>
        <w:t>The age-sex standardized prevalence of Overweight (KSSO &gt;=23 / WHO &gt;=25, country-specific) showed an annual percent change of 0.61% (95% CI 0.46 to 0.82) in the latest segment.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