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ASM / height^2, kg/m2 (beta coefficient 0.14 (95% CI -0.08 to 0.37), false discovery rate q 0.261)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-0.08 to 0.37)</w:t>
            </w:r>
          </w:p>
        </w:tc>
        <w:tc>
          <w:tcPr>
            <w:tcW w:type="dxa" w:w="1234"/>
          </w:tcPr>
          <w:p>
            <w:r>
              <w:t>0.214</w:t>
            </w:r>
          </w:p>
        </w:tc>
        <w:tc>
          <w:tcPr>
            <w:tcW w:type="dxa" w:w="1234"/>
          </w:tcPr>
          <w:p>
            <w:r>
              <w:t>0.261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