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ASM / height^2, kg/m2 (beta coefficient 0.01 (95% CI -0.05 to 0.07), false discovery rate q 0.764)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-0.05 to 0.07)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  <w:tc>
          <w:tcPr>
            <w:tcW w:type="dxa" w:w="1234"/>
          </w:tcPr>
          <w:p>
            <w:r>
              <w:t>0.764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