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Current smoking and ASM / height^2,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Current smoking was inversely associated with ASM / height^2, kg/m2 (beta coefficient -0.12 (95% CI -0.17 to -0.07), false discovery rate q &lt;0.001) among 8809 adults aged 20 years or older (survey-weighted). Confounders: Age, years, Male sex,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Current smoking</w:t>
            </w:r>
          </w:p>
        </w:tc>
        <w:tc>
          <w:tcPr>
            <w:tcW w:type="dxa" w:w="1234"/>
          </w:tcPr>
          <w:p>
            <w:r>
              <w:t>ASM / height^2,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-0.17 to -0.07)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8809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Current smoking (exposure)</w:t>
            </w:r>
          </w:p>
        </w:tc>
        <w:tc>
          <w:tcPr>
            <w:tcW w:type="dxa" w:w="4320"/>
          </w:tcPr>
          <w:p>
            <w:r>
              <w:t>23.1%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43.1%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28.7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