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ASM / height^2, kg/m2 (beta coefficient per 1-SD 0.01 (95% CI -0.02 to 0.03), false discovery rate q 0.631)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-0.02 to 0.03)</w:t>
            </w:r>
          </w:p>
        </w:tc>
        <w:tc>
          <w:tcPr>
            <w:tcW w:type="dxa" w:w="1234"/>
          </w:tcPr>
          <w:p>
            <w:r>
              <w:t>0.579</w:t>
            </w:r>
          </w:p>
        </w:tc>
        <w:tc>
          <w:tcPr>
            <w:tcW w:type="dxa" w:w="1234"/>
          </w:tcPr>
          <w:p>
            <w:r>
              <w:t>0.631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