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ASM / height^2,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AST (&gt;40 IU/L) was positively associated with ASM / height^2, kg/m2 (beta coefficient 0.05 (95% CI -0.04 to 0.14), false discovery rate q 0.339) among 8809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0.05 (95% CI -0.04 to 0.14)</w:t>
            </w:r>
          </w:p>
        </w:tc>
        <w:tc>
          <w:tcPr>
            <w:tcW w:type="dxa" w:w="1234"/>
          </w:tcPr>
          <w:p>
            <w:r>
              <w:t>0.286</w:t>
            </w:r>
          </w:p>
        </w:tc>
        <w:tc>
          <w:tcPr>
            <w:tcW w:type="dxa" w:w="1234"/>
          </w:tcPr>
          <w:p>
            <w:r>
              <w:t>0.339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AST (&gt;40 IU/L) (exposure)</w:t>
            </w:r>
          </w:p>
        </w:tc>
        <w:tc>
          <w:tcPr>
            <w:tcW w:type="dxa" w:w="4320"/>
          </w:tcPr>
          <w:p>
            <w:r>
              <w:t>5.6%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