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ASM / height^2, kg/m2 (beta coefficient per 1-SD -0.01 (95% CI -0.09 to 0.07), false discovery rate q 0.824)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-0.09 to 0.07)</w:t>
            </w:r>
          </w:p>
        </w:tc>
        <w:tc>
          <w:tcPr>
            <w:tcW w:type="dxa" w:w="1234"/>
          </w:tcPr>
          <w:p>
            <w:r>
              <w:t>0.796</w:t>
            </w:r>
          </w:p>
        </w:tc>
        <w:tc>
          <w:tcPr>
            <w:tcW w:type="dxa" w:w="1234"/>
          </w:tcPr>
          <w:p>
            <w:r>
              <w:t>0.824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