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ASM / height^2, kg/m2 (beta coefficient 0.01 (95% CI -0.04 to 0.05), false discovery rate q 0.851)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-0.04 to 0.05)</w:t>
            </w:r>
          </w:p>
        </w:tc>
        <w:tc>
          <w:tcPr>
            <w:tcW w:type="dxa" w:w="1234"/>
          </w:tcPr>
          <w:p>
            <w:r>
              <w:t>0.826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