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inversely associated with ASM / height^2, kg/m2 (beta coefficient per 1-SD -0.02 (95% CI -0.05 to 0.00), false discovery rate q 0.137)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-0.05 to 0.00)</w:t>
            </w:r>
          </w:p>
        </w:tc>
        <w:tc>
          <w:tcPr>
            <w:tcW w:type="dxa" w:w="1234"/>
          </w:tcPr>
          <w:p>
            <w:r>
              <w:t>0.105</w:t>
            </w:r>
          </w:p>
        </w:tc>
        <w:tc>
          <w:tcPr>
            <w:tcW w:type="dxa" w:w="1234"/>
          </w:tcPr>
          <w:p>
            <w:r>
              <w:t>0.137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uric acid, mg/dL (exposure)</w:t>
            </w:r>
          </w:p>
        </w:tc>
        <w:tc>
          <w:tcPr>
            <w:tcW w:type="dxa" w:w="4320"/>
          </w:tcPr>
          <w:p>
            <w:r>
              <w:t>5.3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